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highlight w:val="none"/>
          <w:lang w:val="en-US" w:eastAsia="zh-CN"/>
        </w:rPr>
        <w:t>2023年南宁市本级自筹经费科技项目拟立项表</w:t>
      </w:r>
    </w:p>
    <w:tbl>
      <w:tblPr>
        <w:tblStyle w:val="7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264"/>
        <w:gridCol w:w="3023"/>
        <w:gridCol w:w="1501"/>
        <w:gridCol w:w="1919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6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2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9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起始日期</w:t>
            </w:r>
          </w:p>
        </w:tc>
        <w:tc>
          <w:tcPr>
            <w:tcW w:w="23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城市公共租赁住房智能化管理关键技术研究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南宁市住房保障发展中心、南宁市勘测设计院集团有限公司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覃寿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芳</w:t>
            </w:r>
            <w:bookmarkStart w:id="0" w:name="_GoBack"/>
            <w:bookmarkEnd w:id="0"/>
          </w:p>
        </w:tc>
        <w:tc>
          <w:tcPr>
            <w:tcW w:w="19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23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基于随机森林算法在武鸣区新生儿早产风险评估中的临床研究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南宁市武鸣区妇幼保健院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谭小利</w:t>
            </w:r>
          </w:p>
        </w:tc>
        <w:tc>
          <w:tcPr>
            <w:tcW w:w="19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23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应用高通量测序联合SNP单体分析行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PGT-A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改善高龄女性助孕结局的临床应用研究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南宁市第二人民医院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史秋雯</w:t>
            </w:r>
          </w:p>
        </w:tc>
        <w:tc>
          <w:tcPr>
            <w:tcW w:w="19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23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AIM2介导炎症信号通路NF-kB在缺血性脑卒中后抑郁的作用机制研究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广西壮族自治区江滨医院、广西卓强科技有限公司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戴剑</w:t>
            </w:r>
          </w:p>
        </w:tc>
        <w:tc>
          <w:tcPr>
            <w:tcW w:w="19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23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使用人工血管免缝合技术在腹主动脉血管置换的临床应用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南宁市第一人民医院</w:t>
            </w:r>
          </w:p>
        </w:tc>
        <w:tc>
          <w:tcPr>
            <w:tcW w:w="15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吴文绪</w:t>
            </w:r>
          </w:p>
        </w:tc>
        <w:tc>
          <w:tcPr>
            <w:tcW w:w="19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2023年3月</w:t>
            </w:r>
          </w:p>
        </w:tc>
        <w:tc>
          <w:tcPr>
            <w:tcW w:w="234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  <w:highlight w:val="none"/>
                <w:vertAlign w:val="baseline"/>
                <w:lang w:val="en-US" w:eastAsia="zh-CN"/>
              </w:rPr>
              <w:t>2025年4月</w:t>
            </w:r>
          </w:p>
        </w:tc>
      </w:tr>
    </w:tbl>
    <w:p/>
    <w:sectPr>
      <w:pgSz w:w="16838" w:h="11906" w:orient="landscape"/>
      <w:pgMar w:top="1474" w:right="2098" w:bottom="136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43787"/>
    <w:multiLevelType w:val="singleLevel"/>
    <w:tmpl w:val="DF743787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333B9"/>
    <w:rsid w:val="09C00E4B"/>
    <w:rsid w:val="21C333B9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3"/>
    <w:next w:val="3"/>
    <w:qFormat/>
    <w:uiPriority w:val="0"/>
    <w:rPr>
      <w:rFonts w:eastAsia="方正小标宋简体" w:asciiTheme="minorAscii" w:hAnsiTheme="minorAscii"/>
      <w:b w:val="0"/>
    </w:rPr>
  </w:style>
  <w:style w:type="paragraph" w:customStyle="1" w:styleId="10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2023-07-05T09:24:00Z</dcterms:created>
  <dc:creator>lenovo</dc:creator>
  <cp:lastModifiedBy>lenovo</cp:lastModifiedBy>
  <dcterms:modified xsi:type="dcterms:W3CDTF">2023-07-05T09:58:27Z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